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46" w:rsidRDefault="00FD4E46" w:rsidP="002C32DD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ascii="Times New Roman" w:hAnsi="Times New Roman" w:cs="Times New Roman" w:hint="eastAsia"/>
          <w:b/>
          <w:sz w:val="32"/>
          <w:szCs w:val="32"/>
        </w:rPr>
        <w:t>英语文学导论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FD4E46" w:rsidRDefault="00FD4E46" w:rsidP="00FD4E46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FD4E46" w:rsidTr="0032258A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宋体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FD4E46" w:rsidTr="0032258A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2C32DD" w:rsidP="0032258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EN247/</w:t>
            </w:r>
            <w:r w:rsidR="00FD4E4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FL</w:t>
            </w:r>
            <w:r w:rsidR="00FD4E4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宋体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E566E5" w:rsidP="0032258A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E566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E566E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宋体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E566E5" w:rsidP="0032258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FD4E46" w:rsidTr="0032258A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宋体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（中文）</w:t>
            </w:r>
            <w:r w:rsidR="00056B52" w:rsidRPr="000F6F1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英语文学导论</w:t>
            </w:r>
            <w:r w:rsidR="00056B52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FD4E46" w:rsidTr="0032258A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（英文）</w:t>
            </w:r>
            <w:r w:rsidR="00056B52" w:rsidRPr="000F6F12">
              <w:rPr>
                <w:rFonts w:ascii="Times New Roman" w:hAnsi="Times New Roman" w:cs="Times New Roman"/>
                <w:sz w:val="18"/>
                <w:szCs w:val="18"/>
              </w:rPr>
              <w:t>Introduction to English Literature I</w:t>
            </w:r>
            <w:r w:rsidR="00056B52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</w:p>
        </w:tc>
      </w:tr>
      <w:tr w:rsidR="00056B52" w:rsidTr="0032258A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微软雅黑"/>
                <w:lang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0F6F12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必修；</w:t>
            </w:r>
            <w:r w:rsidRPr="000F6F12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Mandatory</w:t>
            </w:r>
          </w:p>
        </w:tc>
      </w:tr>
      <w:tr w:rsidR="00056B52" w:rsidTr="0032258A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0F6F12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英语系本科</w:t>
            </w:r>
            <w:r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一年级</w:t>
            </w:r>
            <w:r w:rsidRPr="000F6F12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；</w:t>
            </w:r>
            <w:r w:rsidRPr="000F6F12">
              <w:rPr>
                <w:rFonts w:ascii="Times New Roman" w:eastAsia="楷体" w:hAnsi="Times New Roman" w:cs="Times New Roman"/>
                <w:kern w:val="0"/>
                <w:sz w:val="18"/>
                <w:szCs w:val="18"/>
              </w:rPr>
              <w:t>Freshmen of English majors</w:t>
            </w:r>
          </w:p>
        </w:tc>
      </w:tr>
      <w:tr w:rsidR="00056B52" w:rsidTr="0032258A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微软雅黑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674C6D" w:rsidP="00056B5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0F6F1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  <w:lang/>
              </w:rPr>
              <w:t>全英文</w:t>
            </w:r>
            <w:r w:rsidRPr="000F6F1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  <w:lang/>
              </w:rPr>
              <w:t>;</w:t>
            </w:r>
            <w:r w:rsidRPr="000F6F12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/>
              </w:rPr>
              <w:t xml:space="preserve"> English</w:t>
            </w:r>
          </w:p>
        </w:tc>
      </w:tr>
      <w:tr w:rsidR="00056B52" w:rsidTr="0032258A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宋体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674C6D" w:rsidP="00056B5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6F12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外国语学院；</w:t>
            </w:r>
            <w:r w:rsidRPr="000F6F12">
              <w:rPr>
                <w:rFonts w:ascii="Times New Roman" w:hAnsi="Times New Roman" w:cs="Times New Roman"/>
                <w:kern w:val="0"/>
                <w:sz w:val="18"/>
                <w:szCs w:val="18"/>
              </w:rPr>
              <w:t>School of Foreign Languages</w:t>
            </w:r>
          </w:p>
        </w:tc>
      </w:tr>
      <w:tr w:rsidR="00056B52" w:rsidTr="0032258A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674C6D" w:rsidP="00056B5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英语文学导论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微软雅黑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674C6D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英美名诗鉴赏、当代英语小说等文学课</w:t>
            </w:r>
          </w:p>
        </w:tc>
      </w:tr>
      <w:tr w:rsidR="00056B52" w:rsidTr="0032258A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微软雅黑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674C6D" w:rsidP="00056B5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索宇环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Arleen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Ionescu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、都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岚岚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微软雅黑"/>
                <w:lang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6B52" w:rsidTr="0032258A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字，含课程性质、主要教学内容、课程教学目标等）</w:t>
            </w:r>
          </w:p>
          <w:p w:rsidR="00981AD7" w:rsidRDefault="00981AD7" w:rsidP="00154B4C">
            <w:pPr>
              <w:widowControl/>
              <w:ind w:firstLineChars="200" w:firstLine="36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  <w:p w:rsidR="00154B4C" w:rsidRDefault="00154B4C" w:rsidP="00154B4C">
            <w:pPr>
              <w:widowControl/>
              <w:ind w:firstLineChars="200" w:firstLine="36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 w:rsidRPr="002523C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《英语文学导论（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2</w:t>
            </w:r>
            <w:r w:rsidRPr="002523C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）》为英语专业本科生必修课，授课对象为一年级学生。本课程按体裁拼盘授课，通过选取英语文学经典作品，引导学生了解诗歌、戏剧、短篇故事的基本美学特征，赏析英语文学重要作家的代表性作品，熟悉主要的文学思潮与流派，掌握基本的文学批评方法，使其基本具备从事文学欣赏和批评的能力。</w:t>
            </w:r>
          </w:p>
          <w:p w:rsidR="00056B52" w:rsidRPr="00981AD7" w:rsidRDefault="00154B4C" w:rsidP="00981AD7">
            <w:pPr>
              <w:widowControl/>
              <w:ind w:firstLineChars="200" w:firstLine="360"/>
              <w:jc w:val="left"/>
              <w:textAlignment w:val="center"/>
              <w:rPr>
                <w:rStyle w:val="font31"/>
                <w:rFonts w:cs="Times New Roman" w:hint="default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本课程延续《英语文学导论（1）》，通过阅读1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9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世纪和2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世纪英美诗歌、戏剧和小说，如兰斯顿·休、玛雅·安吉拉、埃兹拉·庞德和罗伯特·弗洛斯特的诗歌，奥斯卡·王尔德、萧伯纳、贝克特、斯托博德的戏剧以及简·奥斯丁、艾米莉·勃朗特、弗吉尼亚·伍尔夫、F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.</w:t>
            </w:r>
            <w:r w:rsidR="00981AD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·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司歌特·菲茨杰拉德以及约翰·福尔斯的小说，培养学生</w:t>
            </w:r>
            <w:r w:rsidR="00981AD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的语言运用能力，对文学作品的审美能力和赏析能力、批判性思考能力和跨文化交际能力。</w:t>
            </w:r>
          </w:p>
          <w:p w:rsidR="00056B52" w:rsidRDefault="00056B52" w:rsidP="00056B5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056B52" w:rsidTr="0032258A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字）</w:t>
            </w:r>
          </w:p>
          <w:p w:rsidR="00154B4C" w:rsidRPr="002523C6" w:rsidRDefault="00154B4C" w:rsidP="00154B4C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   </w:t>
            </w:r>
            <w:r w:rsidRPr="002523C6">
              <w:rPr>
                <w:rFonts w:ascii="Times New Roman" w:hAnsi="Times New Roman" w:cs="Times New Roman"/>
                <w:sz w:val="18"/>
                <w:szCs w:val="18"/>
              </w:rPr>
              <w:t>Introduction to English Literature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3C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3C6">
              <w:rPr>
                <w:rFonts w:ascii="Times New Roman" w:hAnsi="Times New Roman" w:cs="Times New Roman"/>
                <w:sz w:val="18"/>
                <w:szCs w:val="18"/>
              </w:rPr>
              <w:t xml:space="preserve">is a </w:t>
            </w:r>
            <w:r w:rsidRPr="002523C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mandatory course designed for the first-year English majors during the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second</w:t>
            </w:r>
            <w:r w:rsidRPr="002523C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semester. By learning the course according to the genres, students are supposed to understand the basic aesthetic features of poetry, drama, and short </w:t>
            </w:r>
            <w:r w:rsidRPr="002523C6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 xml:space="preserve">stories, appreciate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2523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classical works of some major authors, get familiar to some major literary movements and acquire some basic methodology of literary criticism.</w:t>
            </w:r>
          </w:p>
          <w:p w:rsidR="0045670A" w:rsidRPr="0045670A" w:rsidRDefault="0045670A" w:rsidP="00154B4C">
            <w:pPr>
              <w:tabs>
                <w:tab w:val="left" w:pos="3480"/>
                <w:tab w:val="left" w:pos="7680"/>
              </w:tabs>
              <w:spacing w:before="12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This course proposes an in-depth introduction to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poetry, 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drama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and fiction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in English literature, based on a selected corpus consisting of 19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  <w:vertAlign w:val="superscript"/>
              </w:rPr>
              <w:t>th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and 20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  <w:vertAlign w:val="superscript"/>
              </w:rPr>
              <w:t>th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century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poem, 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plays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and novels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. During the more theoretically-shaped classes, students will learn about those elements of theory that they need in order to analyze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the above three genres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. During the more practical classes, students will analyze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a number of texts including poems by Langston Hughes, Maya Angelou, Ezra Pound, Robert Frost, 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plays by Oscar Wilde, G. B. Shaw, Samuel Beckett and Tom Stoppard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and novels by Jane Austen, Emily Bronte, Virginia Woolf, F. Scott Fitzgerald and John Fowles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. They will also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read poems, 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perform plays in class and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submit some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written assignment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s 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to analy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z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e </w:t>
            </w:r>
            <w:r w:rsidR="00F6550C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some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chosen fragments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.</w:t>
            </w:r>
          </w:p>
          <w:p w:rsidR="00056B52" w:rsidRDefault="00056B52" w:rsidP="00056B5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981AD7" w:rsidRDefault="00981AD7" w:rsidP="00056B5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056B52" w:rsidTr="0032258A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056B52" w:rsidTr="0032258A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结合本校办学定位、学生情况、专业人才培养要求，具体描述学习本课程后应该达到的知识、能力、素质、价值水平。</w:t>
            </w:r>
          </w:p>
          <w:p w:rsidR="006B0D11" w:rsidRPr="005F229C" w:rsidRDefault="009E2C16" w:rsidP="006B0D11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1．了解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所选作家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的写作风格，学习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其文本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的语言运用，以提高学生的语言运用能力。</w:t>
            </w:r>
            <w:r w:rsidR="006B0D1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（B</w:t>
            </w:r>
            <w:r w:rsidR="006B0D1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1, B2</w:t>
            </w:r>
            <w:r w:rsidR="006B0D1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9E2C16" w:rsidRPr="005F229C" w:rsidRDefault="009E2C16" w:rsidP="009E2C16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2． 了解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诗歌、戏剧和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短篇故事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三种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文类的基本特征和一定的文学批评方法；能对具体文本中的基本文学要素进行赏析，从而提高学生的文学审美能力和赏析能力。</w:t>
            </w:r>
            <w:r w:rsidR="006B0D1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(</w:t>
            </w:r>
            <w:r w:rsidR="006B0D1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B1, B2, C1,)</w:t>
            </w:r>
          </w:p>
          <w:p w:rsidR="009E2C16" w:rsidRPr="005F229C" w:rsidRDefault="009E2C16" w:rsidP="009E2C16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3．了解英语国家的文化及风土人情，通过</w:t>
            </w:r>
            <w:r w:rsidRPr="00DB6E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文本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体现的主题等要素培养学生的思辨能力和跨文化交际能力，</w:t>
            </w:r>
            <w:r w:rsidRPr="00DB6E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并</w:t>
            </w:r>
            <w:r w:rsidRPr="00DB6EE5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能够</w:t>
            </w:r>
            <w:r w:rsidRPr="00DB6EE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比较并鉴别中西文化思想，去伪存真。</w:t>
            </w:r>
            <w:r w:rsidR="006B0D1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</w:t>
            </w:r>
            <w:r w:rsidR="006B0D1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C2, C3, C4)</w:t>
            </w:r>
          </w:p>
          <w:p w:rsidR="009E2C16" w:rsidRPr="005F229C" w:rsidRDefault="009E2C16" w:rsidP="009E2C16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4、开阔视野，提高人文素质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培养学生志存高远、精勤进取、身心和谐的人格，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培育学生的公民素养、家国情怀和文化自信。</w:t>
            </w:r>
            <w:r w:rsidR="006B0D1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(</w:t>
            </w:r>
            <w:r w:rsidR="006B0D1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A1, A2, A5, D1, D3, D4, D5)</w:t>
            </w:r>
          </w:p>
          <w:p w:rsidR="00056B52" w:rsidRPr="009E2C16" w:rsidRDefault="00056B52" w:rsidP="009E2C16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6B52" w:rsidTr="0032258A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056B52" w:rsidTr="0032258A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Langston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Hughes and his poems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8E7985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批判种族歧视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F6550C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,</w:t>
            </w:r>
            <w:r w:rsidR="00F6550C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 w:rsidR="00F6550C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aya Angelou and her poems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书面作业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8E7985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引导学生理解黑人女性受到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的双重压迫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3-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zra Pound and his Poems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 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书面作业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8E7985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引导学生理解意象派诗歌的起源，培养学生的文化自信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obert Frost and his poems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书面作业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582328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了解弗洛斯特的人生哲学，引导学生树立正确的人生观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eneral Introduction to Drama (17-19</w:t>
            </w:r>
            <w:r w:rsidRPr="00CD005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century)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8E7985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D0056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scar Wilde and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The Importance of Being Earnest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角色扮演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3A3D53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批判享乐主义，引导学生树立正确的人生观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D0056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eorge Bernard Shaw and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Pygmalion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角色扮演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30224E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讨论美与美德的关系</w:t>
            </w:r>
            <w:r w:rsidR="00AE5587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，引导学生认识过度浪漫的后果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ntroduction to Twentieth Century Drama &amp;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amuel Beckett’s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Waiting for Godot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AE5587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通过介绍荒诞派戏剧，探讨人生的意义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D0056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om Stoppard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and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66E5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GB"/>
              </w:rPr>
              <w:t>Rosencrantz and Guildenstern are Dead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角色表演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AE5587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通过介绍荒诞派戏剧，探讨人生的意义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A0D6D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In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troduction to Realistic Fiction &amp; Jane Austen’s </w:t>
            </w:r>
            <w:r>
              <w:rPr>
                <w:rFonts w:ascii="Times New Roman" w:eastAsia="微软雅黑" w:hAnsi="Times New Roman" w:cs="Times New Roman" w:hint="eastAsia"/>
                <w:i/>
                <w:iCs/>
                <w:color w:val="000000"/>
                <w:sz w:val="18"/>
                <w:szCs w:val="18"/>
              </w:rPr>
              <w:t>Pride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 xml:space="preserve"> &amp; Prejudice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F2EAF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引导学生树立正确的婚恋观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A0D6D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mily Bronte’s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Wuthering Heights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t>学习好词好句，进行英汉互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F2EAF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引导学生</w:t>
            </w:r>
            <w:r w:rsidR="0058232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拥有正面积极的情感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A0D6D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ntroduction to Modernist Fiction &amp; Virginia Woolf’s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Mrs. Dalloway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t>学习好词好句，进行英汉互译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582328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引导学生认识到心理健康的重要性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A0D6D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. Scott Fitzgerald’s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The Great Gatsby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t>学习好词好句，进行英汉互译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582328" w:rsidRDefault="00582328" w:rsidP="00056B52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82328">
              <w:rPr>
                <w:rFonts w:ascii="微软雅黑" w:eastAsia="微软雅黑" w:hAnsi="微软雅黑"/>
                <w:sz w:val="18"/>
                <w:szCs w:val="18"/>
              </w:rPr>
              <w:t>批判美国爵士乐时代的享乐主义价值观，培养学生正确 的价值观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ntroduction to Postmodernism Fiction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t>学习好词好句，进行英汉互译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582328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引导学生正确认识后现代主义文化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A0D6D" w:rsidRDefault="00056B52" w:rsidP="00056B52">
            <w:pPr>
              <w:rPr>
                <w:rFonts w:ascii="Times New Roman" w:eastAsia="微软雅黑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ohn Fowles’s </w:t>
            </w:r>
            <w:r>
              <w:rPr>
                <w:rFonts w:ascii="Times New Roman" w:eastAsia="微软雅黑" w:hAnsi="Times New Roman" w:cs="Times New Roman"/>
                <w:i/>
                <w:color w:val="000000"/>
                <w:sz w:val="18"/>
                <w:szCs w:val="18"/>
              </w:rPr>
              <w:t>The French Lieutenant’s Woman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t>学习好词好句，进行英汉互译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3A0A0E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培养</w:t>
            </w:r>
            <w:r w:rsidR="0058232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学生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独立自主的意识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：建议按照教学周周学时编排。</w:t>
            </w:r>
          </w:p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点根据实际情况填写。</w:t>
            </w:r>
          </w:p>
        </w:tc>
      </w:tr>
      <w:tr w:rsidR="00056B52" w:rsidTr="0032258A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hint="default"/>
                <w:lang/>
              </w:rPr>
              <w:t>考核方式</w:t>
            </w:r>
            <w:r>
              <w:rPr>
                <w:rStyle w:val="font01"/>
                <w:rFonts w:eastAsia="宋体"/>
                <w:lang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32B7" w:rsidRDefault="007432B7" w:rsidP="007432B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45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056B52" w:rsidRDefault="007432B7" w:rsidP="007432B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55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</w:tr>
      <w:tr w:rsidR="00056B52" w:rsidTr="0032258A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宋体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（必含信息：教材名称，作者，出版社，出版年份，版次，书号）</w:t>
            </w:r>
          </w:p>
          <w:p w:rsidR="00674C6D" w:rsidRPr="002523C6" w:rsidRDefault="00674C6D" w:rsidP="00674C6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诗歌和戏剧主要使用自编材料。</w:t>
            </w:r>
          </w:p>
          <w:p w:rsidR="00674C6D" w:rsidRPr="002523C6" w:rsidRDefault="00674C6D" w:rsidP="00674C6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短篇故事与小说部分使用教材：</w:t>
            </w:r>
          </w:p>
          <w:p w:rsidR="00674C6D" w:rsidRPr="002523C6" w:rsidRDefault="00674C6D" w:rsidP="00674C6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都</w:t>
            </w:r>
            <w:proofErr w:type="gramStart"/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岚岚</w:t>
            </w:r>
            <w:proofErr w:type="gramEnd"/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、Arleen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Ionescu 编著，《英语文学导论》（短篇故事、小说卷），上海交通大学出版社，2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>020</w:t>
            </w: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年9月第一版，ISBN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>978</w:t>
            </w: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>7313</w:t>
            </w: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>23520</w:t>
            </w: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:rsidR="00674C6D" w:rsidRPr="002523C6" w:rsidRDefault="00674C6D" w:rsidP="00674C6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参考资料：</w:t>
            </w:r>
          </w:p>
          <w:p w:rsidR="00B64408" w:rsidRDefault="00B64408" w:rsidP="00B64408">
            <w:pPr>
              <w:ind w:left="540" w:hangingChars="300" w:hanging="5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4408">
              <w:rPr>
                <w:rFonts w:ascii="Times New Roman" w:hAnsi="Times New Roman" w:cs="Times New Roman"/>
                <w:sz w:val="18"/>
                <w:szCs w:val="18"/>
              </w:rPr>
              <w:t>Caserio</w:t>
            </w:r>
            <w:proofErr w:type="spellEnd"/>
            <w:r w:rsidRPr="00B64408">
              <w:rPr>
                <w:rFonts w:ascii="Times New Roman" w:hAnsi="Times New Roman" w:cs="Times New Roman"/>
                <w:sz w:val="18"/>
                <w:szCs w:val="18"/>
              </w:rPr>
              <w:t>, Robert L. and Clement Hawes</w:t>
            </w:r>
            <w:r w:rsidRPr="00B6440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 w:rsidRPr="00B64408">
              <w:rPr>
                <w:rFonts w:ascii="Times New Roman" w:hAnsi="Times New Roman" w:cs="Times New Roman"/>
                <w:sz w:val="18"/>
                <w:szCs w:val="18"/>
              </w:rPr>
              <w:t xml:space="preserve">eds. </w:t>
            </w:r>
            <w:r w:rsidRPr="00B64408">
              <w:rPr>
                <w:rFonts w:ascii="Times New Roman" w:hAnsi="Times New Roman" w:cs="Times New Roman"/>
                <w:i/>
                <w:sz w:val="18"/>
                <w:szCs w:val="18"/>
              </w:rPr>
              <w:t>The Cambridge History of the English Novel</w:t>
            </w:r>
            <w:r w:rsidRPr="00B6440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644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Cambridge: Cambridge University Press, 2012</w:t>
            </w:r>
            <w:r w:rsidRPr="000D1D81">
              <w:rPr>
                <w:rFonts w:ascii="Times New Roman" w:hAnsi="Times New Roman" w:cs="Times New Roman"/>
                <w:sz w:val="24"/>
              </w:rPr>
              <w:t>.</w:t>
            </w:r>
            <w:r w:rsidRPr="00CD09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82EED" w:rsidRPr="00682EED" w:rsidRDefault="00682EED" w:rsidP="00B64408">
            <w:pPr>
              <w:ind w:left="540" w:hangingChars="300" w:hanging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obie, Ann B. </w:t>
            </w:r>
            <w:r w:rsidRPr="00682E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Theory into Practice: Introduction to Literary Criticism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  <w:r w:rsidRPr="00682EE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edition, Boston: Wadsworth, 2012.</w:t>
            </w:r>
          </w:p>
          <w:p w:rsidR="00674C6D" w:rsidRPr="00B64408" w:rsidRDefault="00B64408" w:rsidP="00B64408">
            <w:pPr>
              <w:widowControl/>
              <w:ind w:left="540" w:hangingChars="300" w:hanging="540"/>
              <w:jc w:val="left"/>
              <w:textAlignment w:val="center"/>
              <w:rPr>
                <w:rFonts w:ascii="Times New Roman" w:eastAsia="微软雅黑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cs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oole, Adrian ed. </w:t>
            </w:r>
            <w:r w:rsidRPr="00B644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The Cambridge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Companion to English Novelist. </w:t>
            </w:r>
            <w:r w:rsidRPr="00B64408">
              <w:rPr>
                <w:rFonts w:ascii="Times New Roman" w:hAnsi="Times New Roman" w:cs="Times New Roman"/>
                <w:sz w:val="18"/>
                <w:szCs w:val="18"/>
              </w:rPr>
              <w:t>Cambridge: Cambridge University Press,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0D1D8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其它（</w:t>
            </w:r>
            <w:r>
              <w:rPr>
                <w:rStyle w:val="font21"/>
                <w:rFonts w:eastAsia="微软雅黑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6B52" w:rsidTr="0032258A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微软雅黑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6B52" w:rsidTr="0032258A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备注说明：</w:t>
            </w:r>
          </w:p>
          <w:p w:rsidR="00056B52" w:rsidRDefault="00056B52" w:rsidP="00056B52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/>
              </w:rPr>
            </w:pPr>
            <w:r>
              <w:rPr>
                <w:rStyle w:val="font21"/>
                <w:rFonts w:eastAsia="微软雅黑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微软雅黑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微软雅黑"/>
                <w:lang/>
              </w:rPr>
              <w:t xml:space="preserve">   </w:t>
            </w:r>
          </w:p>
          <w:p w:rsidR="00056B52" w:rsidRDefault="00056B52" w:rsidP="00056B52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FE0095" w:rsidRPr="00FD4E46" w:rsidRDefault="00FE0095"/>
    <w:sectPr w:rsidR="00FE0095" w:rsidRPr="00FD4E46" w:rsidSect="0003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F0" w:rsidRDefault="00D747F0" w:rsidP="00FD4E46">
      <w:r>
        <w:separator/>
      </w:r>
    </w:p>
  </w:endnote>
  <w:endnote w:type="continuationSeparator" w:id="0">
    <w:p w:rsidR="00D747F0" w:rsidRDefault="00D747F0" w:rsidP="00FD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F0" w:rsidRDefault="00D747F0" w:rsidP="00FD4E46">
      <w:r>
        <w:separator/>
      </w:r>
    </w:p>
  </w:footnote>
  <w:footnote w:type="continuationSeparator" w:id="0">
    <w:p w:rsidR="00D747F0" w:rsidRDefault="00D747F0" w:rsidP="00FD4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AD5"/>
    <w:rsid w:val="00035E58"/>
    <w:rsid w:val="00056B52"/>
    <w:rsid w:val="000F2EAF"/>
    <w:rsid w:val="00154B4C"/>
    <w:rsid w:val="002C32DD"/>
    <w:rsid w:val="0030224E"/>
    <w:rsid w:val="003A0A0E"/>
    <w:rsid w:val="003A3D53"/>
    <w:rsid w:val="0045670A"/>
    <w:rsid w:val="00484AD5"/>
    <w:rsid w:val="00582328"/>
    <w:rsid w:val="00674C6D"/>
    <w:rsid w:val="00682EED"/>
    <w:rsid w:val="006B0D11"/>
    <w:rsid w:val="006F1B22"/>
    <w:rsid w:val="007432B7"/>
    <w:rsid w:val="0078632E"/>
    <w:rsid w:val="00786A56"/>
    <w:rsid w:val="00861416"/>
    <w:rsid w:val="008E7985"/>
    <w:rsid w:val="00981AD7"/>
    <w:rsid w:val="009E2C16"/>
    <w:rsid w:val="00AE5587"/>
    <w:rsid w:val="00B64408"/>
    <w:rsid w:val="00CA0D6D"/>
    <w:rsid w:val="00CD0056"/>
    <w:rsid w:val="00D747F0"/>
    <w:rsid w:val="00E566E5"/>
    <w:rsid w:val="00F6550C"/>
    <w:rsid w:val="00FB4B58"/>
    <w:rsid w:val="00FD4E46"/>
    <w:rsid w:val="00FE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E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E46"/>
    <w:rPr>
      <w:sz w:val="18"/>
      <w:szCs w:val="18"/>
    </w:rPr>
  </w:style>
  <w:style w:type="character" w:customStyle="1" w:styleId="font71">
    <w:name w:val="font71"/>
    <w:basedOn w:val="a0"/>
    <w:qFormat/>
    <w:rsid w:val="00FD4E46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FD4E46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FD4E4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FD4E46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FD4E46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FD4E46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17</cp:revision>
  <dcterms:created xsi:type="dcterms:W3CDTF">2021-03-07T01:12:00Z</dcterms:created>
  <dcterms:modified xsi:type="dcterms:W3CDTF">2021-03-17T02:45:00Z</dcterms:modified>
</cp:coreProperties>
</file>